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Табела. 9.6.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Компетентност наставника</w:t>
      </w:r>
    </w:p>
    <w:tbl>
      <w:tblPr>
        <w:tblStyle w:val="Table1"/>
        <w:tblW w:w="107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9"/>
        <w:gridCol w:w="97"/>
        <w:gridCol w:w="1012"/>
        <w:gridCol w:w="803"/>
        <w:gridCol w:w="2473"/>
        <w:gridCol w:w="874"/>
        <w:gridCol w:w="1696"/>
        <w:gridCol w:w="41"/>
        <w:gridCol w:w="2449"/>
        <w:gridCol w:w="716"/>
        <w:tblGridChange w:id="0">
          <w:tblGrid>
            <w:gridCol w:w="629"/>
            <w:gridCol w:w="97"/>
            <w:gridCol w:w="1012"/>
            <w:gridCol w:w="803"/>
            <w:gridCol w:w="2473"/>
            <w:gridCol w:w="874"/>
            <w:gridCol w:w="1696"/>
            <w:gridCol w:w="41"/>
            <w:gridCol w:w="2449"/>
            <w:gridCol w:w="716"/>
          </w:tblGrid>
        </w:tblGridChange>
      </w:tblGrid>
      <w:tr>
        <w:trPr>
          <w:cantSplit w:val="0"/>
          <w:trHeight w:val="227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Име и презиме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Душко Богданић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Звање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Редовни професор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Ужа научна област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Математика-алгебра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3"/>
            <w:shd w:fill="d3cbeb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Академска каријера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3cbeb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Година </w:t>
            </w:r>
          </w:p>
        </w:tc>
        <w:tc>
          <w:tcPr>
            <w:shd w:fill="d3cbeb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Институција </w:t>
            </w:r>
          </w:p>
        </w:tc>
        <w:tc>
          <w:tcPr>
            <w:gridSpan w:val="3"/>
            <w:shd w:fill="d3cbeb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Област </w:t>
            </w:r>
          </w:p>
        </w:tc>
        <w:tc>
          <w:tcPr>
            <w:gridSpan w:val="2"/>
            <w:shd w:fill="d3cbeb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Ужа научна односно уметничка област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Избор у звање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Алфа БК Универзитет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Математика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Алгебра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Докторат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Универзитет у Оксфорду, Велика Британија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Математика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Алгебра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Магистратура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Диплома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Универзитет у Бањалуци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Maтематика и информатика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Алгебра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10"/>
            <w:shd w:fill="d3cbeb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Списак предмета које наставник држи на докторским студијама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d3cbeb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Р.Б.</w:t>
            </w:r>
          </w:p>
        </w:tc>
        <w:tc>
          <w:tcPr>
            <w:gridSpan w:val="2"/>
            <w:shd w:fill="d3cbeb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Ознака </w:t>
            </w:r>
          </w:p>
        </w:tc>
        <w:tc>
          <w:tcPr>
            <w:gridSpan w:val="7"/>
            <w:shd w:fill="d3cbeb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Назив предмета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19.DRN008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Алгоритми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алгебарске комбинаторике 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19.DRN010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Алгебарско израчунавање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10"/>
            <w:shd w:fill="d3cbeb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Најзначајнији радови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 у складу са захтевима допунских услова  стандарда за дато поље (минимално 10 не више од 20)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mbria" w:cs="Cambria" w:eastAsia="Cambria" w:hAnsi="Cambri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8"/>
                <w:szCs w:val="18"/>
                <w:rtl w:val="0"/>
              </w:rPr>
              <w:t xml:space="preserve">K. Baur, D. Bogdanic, J.-R. Li,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sz w:val="18"/>
                <w:szCs w:val="18"/>
                <w:rtl w:val="0"/>
              </w:rPr>
              <w:t xml:space="preserve">Construction of Rank 2 Indecomposable Modules in Grassmannian Cluster Categories</w:t>
            </w: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, Advanced Studies in Pure Mathematics, Volume 88 "The McKay correspondence, Mutation and related topics", Mathematical Society of Japan, (2023), pp 1-45.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M13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2.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8"/>
                <w:szCs w:val="18"/>
                <w:rtl w:val="0"/>
              </w:rPr>
              <w:t xml:space="preserve">K. Baur, D. Bogdanic, A. Garcia Elsener,</w:t>
            </w: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sz w:val="18"/>
                <w:szCs w:val="18"/>
                <w:rtl w:val="0"/>
              </w:rPr>
              <w:t xml:space="preserve">Corrigendum to "Cluster categories from Grassmannians and root combinatorics</w:t>
            </w: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”, Nagoya Mathematical Journal, Cambridge University Press 249 (2023), 269-273.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М23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3.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D. Bogdanic, I.-V. Boroja,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sz w:val="18"/>
                <w:szCs w:val="18"/>
                <w:rtl w:val="0"/>
              </w:rPr>
              <w:t xml:space="preserve">Decomposable extensions between rank 1 modules in Grassmannian cluster category, </w:t>
            </w: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Sarajevo Journal of Mathematics, Vol.18 (31), No.2 (2022), 297 – 312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M51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4.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D. Bogdanic, I.-V. Boroja,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sz w:val="18"/>
                <w:szCs w:val="18"/>
                <w:rtl w:val="0"/>
              </w:rPr>
              <w:t xml:space="preserve">Indecomposable Modules in the Grassmannian Cluster Category CM(B_(5,10)),</w:t>
            </w: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 Kragujevac Journal of Mathematics, Volume 48(6) (2024), Pages 907–920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M51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5.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AF">
            <w:pPr>
              <w:widowControl w:val="0"/>
              <w:spacing w:after="6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8"/>
                <w:szCs w:val="18"/>
                <w:rtl w:val="0"/>
              </w:rPr>
              <w:t xml:space="preserve">K. Baur, D. Bogdanic, A. Garcia Elsener,</w:t>
            </w: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sz w:val="18"/>
                <w:szCs w:val="18"/>
                <w:rtl w:val="0"/>
              </w:rPr>
              <w:t xml:space="preserve">Cluster categories from Grassmannians and root combinatorics,</w:t>
            </w: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 Nagoya Mathematical Journal, Cambridge University Press 240 (2020), 322-354.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М23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6.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B9">
            <w:pPr>
              <w:widowControl w:val="0"/>
              <w:spacing w:after="6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8"/>
                <w:szCs w:val="18"/>
                <w:rtl w:val="0"/>
              </w:rPr>
              <w:t xml:space="preserve">K. Baur, D. Bogdanic,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Extensions between Cohen–Macaulay modules of Grassmannian cluster categories,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18"/>
                <w:szCs w:val="18"/>
                <w:rtl w:val="0"/>
              </w:rPr>
              <w:t xml:space="preserve"> J Algebr. Comb., Springer (2017) 45 (4): 965-1000.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М23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7.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8"/>
                <w:szCs w:val="18"/>
                <w:rtl w:val="0"/>
              </w:rPr>
              <w:t xml:space="preserve">D. Bogdanic,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Existence of gradings on associative algebras,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18"/>
                <w:szCs w:val="18"/>
                <w:rtl w:val="0"/>
              </w:rPr>
              <w:t xml:space="preserve"> Comms. Algebra (2016), Volume 44, Issue 7, pp 3069-3076.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М23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8.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mbria" w:cs="Cambria" w:eastAsia="Cambria" w:hAnsi="Cambri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D. Bogdanic, 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sz w:val="18"/>
                <w:szCs w:val="18"/>
                <w:rtl w:val="0"/>
              </w:rPr>
              <w:t xml:space="preserve">Graded Cartan matrices of defect 2 blocks of symmetric groups</w:t>
            </w: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, J. Algebra Appl. 12 (2013), No. 5, 1250220, 12 pp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М23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9.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mbria" w:cs="Cambria" w:eastAsia="Cambria" w:hAnsi="Cambri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D. Bogdanic,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sz w:val="18"/>
                <w:szCs w:val="18"/>
                <w:rtl w:val="0"/>
              </w:rPr>
              <w:t xml:space="preserve">Graded blocks of group algebras with dihedral defect groups</w:t>
            </w: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, Colloq. Math. 122, No 2, (2011), 149-176.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М23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10.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mbria" w:cs="Cambria" w:eastAsia="Cambria" w:hAnsi="Cambri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8"/>
                <w:szCs w:val="18"/>
                <w:rtl w:val="0"/>
              </w:rPr>
              <w:t xml:space="preserve">D. Bogdanic,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Graded Brauer tree algebras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18"/>
                <w:szCs w:val="18"/>
                <w:rtl w:val="0"/>
              </w:rPr>
              <w:t xml:space="preserve">, J. Pure Appl. Algebra 214, No. 9, (2010), 1534-1552.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М22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Збирни подаци научне активност наставника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Укупан број цитата, без аутоцитата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Google Scholar: 84  h-индекс  5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Укупан број радова са SCI (или SSCI) листе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Тренутно учешће на пројектима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Домаћи     0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Међународни     0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Усавршавања 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2016-2020: University of Graz, Principal Investigator, Austrian Science Fund Stand Alone Project. </w:t>
              <w:br w:type="textWrapping"/>
              <w:t xml:space="preserve">2013-2016: University of Graz, Austrian Science Fund Postdoctoral Researcher</w:t>
              <w:br w:type="textWrapping"/>
              <w:t xml:space="preserve">2011-2013: Swiss Federal Institute of Technology, ETH Zurich, Marie Curie Postdoctoral Research Fellow</w:t>
              <w:br w:type="textWrapping"/>
              <w:t xml:space="preserve">2006-2010: University of Oxford, D.Phil. Studies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Други подаци које сматрате релевантним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spacing w:after="60" w:line="240" w:lineRule="auto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1. Менторство:</w:t>
            </w: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 преко 10 мастер теза, 1 бачелор теза (ЕТХ Цирих), преко 20 дипломских радова. </w:t>
              <w:br w:type="textWrapping"/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2. Настава: </w:t>
            </w:r>
          </w:p>
          <w:p w:rsidR="00000000" w:rsidDel="00000000" w:rsidP="00000000" w:rsidRDefault="00000000" w:rsidRPr="00000000" w14:paraId="00000126">
            <w:pPr>
              <w:widowControl w:val="0"/>
              <w:spacing w:after="60" w:line="24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 а) Универзитет у Оксфорду: тутор и асистент на неколико предмета на Институту за математику и неколико колеџа у Оксфорду. </w:t>
              <w:br w:type="textWrapping"/>
              <w:t xml:space="preserve">б)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ЕТХ Цирих: Предавач на постдипломском курсу ”Модуларна теорија репрезентација”.</w:t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в)Универзитет у Бањој Луци: Предавач на више од десет предмета на редовним, магистарским и докторским студијима. </w:t>
              <w:br w:type="textWrapping"/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3.Предавања по позиву на истраживачким семинарима и на конференцијама: </w:t>
            </w: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Предавања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на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преко 30 универзитета и истраживачких институција, неки од њих су: MSRI Berkeley, USA; University of Ottawa, Canada; University of Oxford, UK; UCL, UK; University of Leicester, UK; University of Bath, UK;City University London, UK;  ETH Zurich, Switzerland; EPFL Lausanne, Switzerland; University of Uppsala, Sweden; University of Graz, Austria; University of Stuttgart, Germany; NUS Singapore, NTU Singapore.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br w:type="textWrapping"/>
              <w:t xml:space="preserve">4. Истраживачки грантови: </w:t>
            </w: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Универзитет у Оксфорду (ГБП 75000,00), ЕТХ Цирих (ЕУР 170000,00- ФП7 Марија Кири), Универзитет у Грацу (ЕУР 430000,00, два пројекта Аустријски фонд за науку).</w:t>
              <w:br w:type="textWrapping"/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5. Остале професионалне активности:</w:t>
            </w: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  Главни и одговорни уредник часописа МАТ-КОЛ Бања Лука. Главни и одговорни уредник часописа Journal/Bulletin of IMVIBL. Рецензент за више од десет водећих међународних часописа.  Приказивач радова за MathSciNet i Math Zentralblatt.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wF6OeG4UAJZTEfsA+b8e9rNGog==">CgMxLjA4AHIhMVRtMkh5T3ZpMEFXRTh3cG5GczZvejg3N0NjdTBvbUh4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