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Табела. 9.8</w:t>
      </w:r>
      <w:r w:rsidDel="00000000" w:rsidR="00000000" w:rsidRPr="00000000">
        <w:rPr>
          <w:sz w:val="22"/>
          <w:szCs w:val="22"/>
          <w:rtl w:val="0"/>
        </w:rPr>
        <w:t xml:space="preserve"> Компетентност ментора</w:t>
      </w:r>
    </w:p>
    <w:tbl>
      <w:tblPr>
        <w:tblStyle w:val="Table1"/>
        <w:tblW w:w="8660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1"/>
        <w:gridCol w:w="35"/>
        <w:gridCol w:w="1354"/>
        <w:gridCol w:w="1062"/>
        <w:gridCol w:w="137"/>
        <w:gridCol w:w="1583"/>
        <w:gridCol w:w="584"/>
        <w:gridCol w:w="807"/>
        <w:gridCol w:w="372"/>
        <w:gridCol w:w="312"/>
        <w:gridCol w:w="772"/>
        <w:gridCol w:w="991"/>
        <w:tblGridChange w:id="0">
          <w:tblGrid>
            <w:gridCol w:w="651"/>
            <w:gridCol w:w="35"/>
            <w:gridCol w:w="1354"/>
            <w:gridCol w:w="1062"/>
            <w:gridCol w:w="137"/>
            <w:gridCol w:w="1583"/>
            <w:gridCol w:w="584"/>
            <w:gridCol w:w="807"/>
            <w:gridCol w:w="372"/>
            <w:gridCol w:w="312"/>
            <w:gridCol w:w="772"/>
            <w:gridCol w:w="991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2">
            <w:pPr>
              <w:spacing w:after="6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Име и презиме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0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Милош Илић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spacing w:after="6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Звање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1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Доцент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A">
            <w:pPr>
              <w:spacing w:after="6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Ужа научна, уметничка односно стручна  област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1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Информациони системи и информационе технологије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6">
            <w:pPr>
              <w:spacing w:after="6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Академска каријера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Година 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Институција 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Ужа научна, уметничка односно стручна област 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Избор у звање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2025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Алфа БК Универзитет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Информациони системи и информационе технологије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Докторат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2025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Факултет информационих технологија, Алфа БК Универзитет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Информационо комуникационе технологије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Магистратура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5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Мастер диплома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Факултет информационих технологија, Алфа БК Универзитет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Информационе технологије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Диплома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Факултет информационих технологија, Алфа БК Универзитет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Информационе технологије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6E">
            <w:pPr>
              <w:spacing w:after="6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Списак дисертација-докторских уметничких пројеката а у којима је наставник ментор или је био ментор у претходних 10 година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Р.Б.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Наслов дисертације- докторског уметничког пројекта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Име кандидата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*пријављена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** одбрањена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spacing w:after="60" w:lineRule="auto"/>
              <w:ind w:left="425" w:hanging="425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9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*Година  у којој је дисертација-докторски уметнички пројекат  пријављена-пријављен (само за дисертације-докторске уметничке пројекте  које су у току), ** Година у којој је дисертација-докторски уметнички пројекат  одбрањена (само за дисертације-докторско уметничке пројекте  из ранијег периода)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9E">
            <w:pPr>
              <w:spacing w:after="6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Категоризација публикације научних радова  из области датог студијског програма  према класификацији ресорног Министарства просвете, науке и технолошког развоја  а у складу са допунским захтевевима  стандарда за дато поље (минимално 5 не више од 20)</w:t>
            </w:r>
          </w:p>
          <w:p w:rsidR="00000000" w:rsidDel="00000000" w:rsidP="00000000" w:rsidRDefault="00000000" w:rsidRPr="00000000" w14:paraId="0000009F">
            <w:pPr>
              <w:spacing w:after="6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Категоризација публикације уметничких референци  из области датог студијског програма  према класификацији  из Упутства  за припрему документације  за акредитацију студијског програма а у складу са допунским захтевевима  стандарда за дато поље  (минимално 5 не више од 20)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numPr>
                <w:ilvl w:val="0"/>
                <w:numId w:val="2"/>
              </w:numPr>
              <w:spacing w:after="60" w:lineRule="auto"/>
              <w:ind w:left="425" w:hanging="425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AC">
            <w:pPr>
              <w:spacing w:after="6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Ilić, M.</w:t>
            </w:r>
            <w:r w:rsidDel="00000000" w:rsidR="00000000" w:rsidRPr="00000000">
              <w:rPr>
                <w:rtl w:val="0"/>
              </w:rPr>
              <w:t xml:space="preserve">, Mikić, V., Kopanja, L., &amp; Vesin, B. (2023). Intelligent techniques in e-learning: a literature review.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Artificial Intelligence Review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  <w:t xml:space="preserve">(12), 14907-14953 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https://doi.org/10.1007/s10462-023-10508-1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M21a+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numPr>
                <w:ilvl w:val="0"/>
                <w:numId w:val="2"/>
              </w:numPr>
              <w:spacing w:after="60" w:lineRule="auto"/>
              <w:ind w:left="425" w:hanging="425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B8">
            <w:pPr>
              <w:spacing w:after="6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Ilić, M.</w:t>
            </w:r>
            <w:r w:rsidDel="00000000" w:rsidR="00000000" w:rsidRPr="00000000">
              <w:rPr>
                <w:rtl w:val="0"/>
              </w:rPr>
              <w:t xml:space="preserve">, Keković, G., Mikić, V., Mangaroska, K., Kopanja, L., &amp; Vesin, B. (2024). Predicting Student Performance in a Programming Tutoring System Using AI and Filtering Techniques.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IEEE Transactions on Learning Technologies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  <w:t xml:space="preserve">, 1931-1945. </w:t>
            </w: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https://doi.org/10.1109/TLT.2024.3431473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М21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numPr>
                <w:ilvl w:val="0"/>
                <w:numId w:val="2"/>
              </w:numPr>
              <w:spacing w:after="60" w:lineRule="auto"/>
              <w:ind w:left="425" w:hanging="425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C4">
            <w:pPr>
              <w:spacing w:after="6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Mikić, V., Keković, G., Mangaroska, K.,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Ilić, M.</w:t>
            </w:r>
            <w:r w:rsidDel="00000000" w:rsidR="00000000" w:rsidRPr="00000000">
              <w:rPr>
                <w:rtl w:val="0"/>
              </w:rPr>
              <w:t xml:space="preserve">, Kopanja, L., &amp; Vesin, B. (2026). Exploring Learner Engagement in E-Learning Environments: A Predictive Analytics Perspective.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International Journal Of Human–Computer Interaction</w:t>
            </w:r>
            <w:r w:rsidDel="00000000" w:rsidR="00000000" w:rsidRPr="00000000">
              <w:rPr>
                <w:rtl w:val="0"/>
              </w:rPr>
              <w:t xml:space="preserve">, 42(6), 3896–3919.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https://doi.org/10.1080/10447318.2025.2535530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М21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numPr>
                <w:ilvl w:val="0"/>
                <w:numId w:val="2"/>
              </w:numPr>
              <w:spacing w:after="60" w:lineRule="auto"/>
              <w:ind w:left="425" w:hanging="425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D0">
            <w:pPr>
              <w:spacing w:after="6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Mikić, V.,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Ilić, M.</w:t>
            </w:r>
            <w:r w:rsidDel="00000000" w:rsidR="00000000" w:rsidRPr="00000000">
              <w:rPr>
                <w:rtl w:val="0"/>
              </w:rPr>
              <w:t xml:space="preserve">, Kopanja, L., &amp; Vesin, B. (2022). Personalisation methods in e-learning - A literature review.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Computer Applications in Engineering Education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  <w:t xml:space="preserve">(6), 1931-1958. </w:t>
            </w: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https:/doi.org/10.1002/cae.22566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М22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numPr>
                <w:ilvl w:val="0"/>
                <w:numId w:val="2"/>
              </w:numPr>
              <w:spacing w:after="60" w:lineRule="auto"/>
              <w:ind w:left="425" w:hanging="425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DC">
            <w:pPr>
              <w:spacing w:after="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Keković, G., Božović, R., Ketin, S., Mikić, V.,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Ilić, M.</w:t>
            </w:r>
            <w:r w:rsidDel="00000000" w:rsidR="00000000" w:rsidRPr="00000000">
              <w:rPr>
                <w:rtl w:val="0"/>
              </w:rPr>
              <w:t xml:space="preserve">, &amp; Vesin, B. (2026). Artificial neural network modeling for air pollution prediction: LSTM versus the Levenberg–Marquardt approach.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Computer Science and Information Systems</w:t>
            </w:r>
            <w:r w:rsidDel="00000000" w:rsidR="00000000" w:rsidRPr="00000000">
              <w:rPr>
                <w:rtl w:val="0"/>
              </w:rPr>
              <w:t xml:space="preserve">, 23(3), 1077–1102. </w:t>
            </w: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https://doi.org/10.2298/CSIS251101031K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M22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numPr>
                <w:ilvl w:val="0"/>
                <w:numId w:val="2"/>
              </w:numPr>
              <w:spacing w:after="60" w:lineRule="auto"/>
              <w:ind w:left="425" w:hanging="425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E8">
            <w:pPr>
              <w:spacing w:after="6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Zlatkovic, D., Denic, N., Petrovic, M.,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Ilic, M.</w:t>
            </w:r>
            <w:r w:rsidDel="00000000" w:rsidR="00000000" w:rsidRPr="00000000">
              <w:rPr>
                <w:rtl w:val="0"/>
              </w:rPr>
              <w:t xml:space="preserve">,  Khorami, M., Safa, A., Wakil, K., Petkovic, D., &amp; Vujicic, S. (2020). Analysis of adaptive e-learning systems with adjustment of the Felder-Silverman model in a Moodle DLS.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Computer Applications in Engineering Education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  <w:t xml:space="preserve">(4), 803-813. </w:t>
            </w: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https://doi.org/10.1002/cae.22251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М23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F3">
            <w:pPr>
              <w:spacing w:after="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Збирни подаци научне активност наставника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FF">
            <w:pPr>
              <w:spacing w:after="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Збирни подаци уметничке  активност наставника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0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Укупан број цитата, без аутоцитата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11">
            <w:pPr>
              <w:spacing w:after="60" w:lineRule="auto"/>
              <w:jc w:val="both"/>
              <w:rPr>
                <w:b w:val="1"/>
                <w:bCs w:val="1"/>
              </w:rPr>
            </w:pPr>
            <w:bookmarkStart w:colFirst="0" w:colLast="0" w:name="_heading=h.8psnu54u7oi3" w:id="0"/>
            <w:bookmarkEnd w:id="0"/>
            <w:r w:rsidDel="00000000" w:rsidR="00000000" w:rsidRPr="00000000">
              <w:rPr>
                <w:rtl w:val="0"/>
              </w:rPr>
              <w:t xml:space="preserve">103 (Scopus)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1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Укупан број радова са SCI (или SSCI) листе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1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23">
            <w:pPr>
              <w:spacing w:after="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Тренутно учешће на пројектима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29">
            <w:pPr>
              <w:spacing w:after="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Домаћи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2C">
            <w:pPr>
              <w:spacing w:after="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Међународни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2F">
            <w:pPr>
              <w:spacing w:after="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Усавршавања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35">
            <w:pPr>
              <w:spacing w:after="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38">
            <w:pPr>
              <w:spacing w:after="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3B">
            <w:pPr>
              <w:spacing w:after="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Други подаци које сматрате релевантним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41">
            <w:pPr>
              <w:spacing w:after="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47">
            <w:pPr>
              <w:spacing w:after="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Максимална дужине несме бити већа од 2 странице А4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4D">
            <w:pPr>
              <w:spacing w:after="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6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6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sr-Cyrl-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i.org/10.2298/CSIS251101031K" TargetMode="External"/><Relationship Id="rId10" Type="http://schemas.openxmlformats.org/officeDocument/2006/relationships/hyperlink" Target="https://doi.org/10.1002/cae.22566" TargetMode="External"/><Relationship Id="rId12" Type="http://schemas.openxmlformats.org/officeDocument/2006/relationships/hyperlink" Target="https://doi.org/10.1002/cae.22251" TargetMode="External"/><Relationship Id="rId9" Type="http://schemas.openxmlformats.org/officeDocument/2006/relationships/hyperlink" Target="https://doi.org/10.1080/10447318.2025.253553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1007/s10462-023-10508-1" TargetMode="External"/><Relationship Id="rId8" Type="http://schemas.openxmlformats.org/officeDocument/2006/relationships/hyperlink" Target="https://doi.org/10.1109/TLT.2024.343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akXY2cTeMHJl4G7aI5wmxPAHNw==">CgMxLjAyDmguOHBzbnU1NHU3b2kzOAByITF6c29CRHJ4SngwTEJRUlZndlRsSXFtV3I2ZFNVdnFQNw==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A65CBC433156476BAEB37BA89F320D6F_11</vt:lpwstr>
  </property>
</Properties>
</file>